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КОМИТЕТ ГОСУДАРСТВЕННОЙ ДУМЫ ПО ОХРАНЕ ЗДОРОВЬЯ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«Круглый стол» на тему: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«Мужское здоровье. Нормативное правовое регулирование»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56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33.0" w:type="dxa"/>
        <w:jc w:val="left"/>
        <w:tblInd w:w="70.0" w:type="pct"/>
        <w:tblLayout w:type="fixed"/>
        <w:tblLook w:val="0000"/>
      </w:tblPr>
      <w:tblGrid>
        <w:gridCol w:w="4689"/>
        <w:gridCol w:w="2268"/>
        <w:gridCol w:w="2976"/>
        <w:tblGridChange w:id="0">
          <w:tblGrid>
            <w:gridCol w:w="4689"/>
            <w:gridCol w:w="2268"/>
            <w:gridCol w:w="297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Москва, ул. Охотный ряд, д.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12 мая 2022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Малый зал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12.00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4.999999999998" w:type="dxa"/>
        <w:jc w:val="left"/>
        <w:tblInd w:w="108.0" w:type="pc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540"/>
        <w:gridCol w:w="2579"/>
        <w:gridCol w:w="3827"/>
        <w:gridCol w:w="3119"/>
        <w:tblGridChange w:id="0">
          <w:tblGrid>
            <w:gridCol w:w="540"/>
            <w:gridCol w:w="2579"/>
            <w:gridCol w:w="3827"/>
            <w:gridCol w:w="3119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ПОРЯДОК ПРОВЕДЕНИЯ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Открытие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«круглого стола»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Хубезов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Дмитрий Анатольевич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Председатель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Комитета Государственной Думы по охране здоровья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Доклады, выступления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Камалов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Армаис  Альбертович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Директор Медицинского научно-образовательного центра МГУ </w:t>
              <w:br w:type="textWrapping"/>
              <w:t xml:space="preserve">им. М.В.Ломоносова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Мужское здоровье «Возможности и проблемы в организации комплексной медицинской помощи мужскому населению»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Аполихин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Олег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Иванович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Главный внештатный специалист Минздрава России </w:t>
              <w:br w:type="textWrapping"/>
              <w:t xml:space="preserve">по репродуктивному здоровью мужчин, Директор НИИ урологии и интервенционной радиологии им. Н.А.Лопаткина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«Мужское здоровье и активное социальное долголетие в демографической перспективе»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Драпкина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Оксана  Михайловна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ВКС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Директор  ФГБУ «НМИЦ терапии и профилактической медицины» Минздрава России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«Факторы влияющие на мужское здоровье»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Божедомов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Владимир Александрович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Научный руководитель по андрологии и репродукции ФГБУ «Поликлиника № 3» Управления делами Президента Российской Федерации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Репродукционное здоровье мужчин «Современный взгляд на проблему»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Матвеев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Всеволод Борисович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по научной и инновационной работе ФГБУ «НМИЦ онкологии им. Н.Н. Блохина» Минздрава России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«Онкологические проблемы мужского населения Российской Федерации»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Павлов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Андрей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Юрьевич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по научно-лечебной работе ФГБУ «Российский научный центр рентгенорадиологии» Минздрава России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«Вопросы организации оказания медицинской помощи детям с  урологическими заболеваниями»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Гаджиев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Дибирдада Пазлуевич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Главный врач ГБУ Республики Дагестан «Республиканский урологический центр»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Результаты  реализации программы «Мужское здоровье и активное социальное долголетие»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 Республике Дагестан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Алиев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Роман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Тофикович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Руководитель Центра медицинского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урологического КГБУЗ «Краевая клиническая больница» г. Барнаул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"Алтайская модель" организации уроандрологической службы на региональном уровне.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Кызласов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Павел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Сергеевич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Главный внештатный специалист уролог ФМБА России, руководитель Центра урологии и андрологии ФГБУ ГНЦ ФМБЦ им.А.И.Бурназяна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«Мужское здоровье. Нормативно правовое регулирование»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Ахвледиани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Ника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Джумберович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Профессор кафедры урологии Московского государственного медико – стоматологического университета </w:t>
              <w:br w:type="textWrapping"/>
              <w:t xml:space="preserve">им. А.И. Евдокимова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«Вопросы борьбы за мужское здоровье»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Дискуссия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Окончание заседания «круглого стола»  14 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108.0" w:type="pc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540"/>
        <w:gridCol w:w="2579"/>
        <w:gridCol w:w="6946"/>
        <w:tblGridChange w:id="0">
          <w:tblGrid>
            <w:gridCol w:w="540"/>
            <w:gridCol w:w="2579"/>
            <w:gridCol w:w="6946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Готовы принять участие в дискуссии: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Морозов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Сергей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Иванович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Первый заместитель председателя Комитета ГД </w:t>
              <w:br w:type="textWrapping"/>
              <w:t xml:space="preserve">по региональной политике и местному самоуправлению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Колударова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Ольга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Павловна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ВКС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Департамента государственной политики в сфере воспитания, дополнительного образования и детского отдыха Минпросвещения России 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Войнов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Виктор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Борисович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И.о.директора «Института возрастной физиологии Российской Академии Образования» Министерства просвещения Российской Федерации </w:t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 w:orient="portrait"/>
      <w:pgMar w:bottom="1135" w:top="1134" w:left="1134" w:right="85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